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9"/>
        <w:gridCol w:w="6262"/>
      </w:tblGrid>
      <w:tr>
        <w:tc>
          <w:tcPr>
            <w:tcW w:w="3309" w:type="dxa"/>
          </w:tcPr>
          <w:p>
            <w:pPr>
              <w:shd w:val="clear" w:color="auto" w:fill="FFFFFF"/>
              <w:spacing w:line="240" w:lineRule="atLeast"/>
              <w:rPr>
                <w:rFonts w:ascii="Times New Roman" w:hAnsi="Times New Roman"/>
                <w:bCs/>
                <w:i w:val="0"/>
                <w:color w:val="010423"/>
                <w:sz w:val="22"/>
                <w:szCs w:val="22"/>
              </w:rPr>
            </w:pPr>
          </w:p>
        </w:tc>
        <w:tc>
          <w:tcPr>
            <w:tcW w:w="6262" w:type="dxa"/>
          </w:tcPr>
          <w:p>
            <w:pPr>
              <w:widowControl/>
              <w:suppressAutoHyphens/>
              <w:autoSpaceDE/>
              <w:autoSpaceDN/>
              <w:adjustRightInd/>
              <w:spacing w:line="240" w:lineRule="atLeast"/>
              <w:ind w:left="4956" w:firstLine="708"/>
              <w:jc w:val="center"/>
              <w:rPr>
                <w:rFonts w:ascii="Times New Roman" w:hAnsi="Times New Roman"/>
                <w:bCs/>
                <w:i w:val="0"/>
                <w:color w:val="01042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ar-SA"/>
              </w:rPr>
              <w:t xml:space="preserve">           </w:t>
            </w:r>
          </w:p>
        </w:tc>
      </w:tr>
    </w:tbl>
    <w:p>
      <w:pPr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ГОСУДАРСТВЕННОЕ ОБЩЕОБРАЗОВАТЕЛЬНОЕ УЧРЕЖДЕНИЕ  ЛУГАНСКОЙ НАРОДНОЙ РЕСПУБЛИКИ </w:t>
      </w:r>
    </w:p>
    <w:p>
      <w:pPr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" БРЯНКОВСКАЯ СПЕЦИАЛИЗИРОВАННАЯ ШКОЛА № 1" </w:t>
      </w:r>
    </w:p>
    <w:p>
      <w:pPr>
        <w:jc w:val="center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 xml:space="preserve">(ГОУ ЛНР "БРЯНКОВСКАЯ СШ № 1") </w:t>
      </w:r>
    </w:p>
    <w:p>
      <w:pPr>
        <w:jc w:val="right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УТВЕРЖДЕНО:</w:t>
      </w:r>
    </w:p>
    <w:p>
      <w:pPr>
        <w:jc w:val="right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Директор школы</w:t>
      </w:r>
    </w:p>
    <w:p>
      <w:pPr>
        <w:jc w:val="right"/>
        <w:rPr>
          <w:rFonts w:ascii="Times New Roman" w:eastAsia="Calibri" w:hAnsi="Times New Roman" w:cs="Times New Roman"/>
          <w:i w:val="0"/>
          <w:iCs w:val="0"/>
          <w:sz w:val="28"/>
          <w:szCs w:val="28"/>
        </w:rPr>
      </w:pPr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___</w:t>
      </w:r>
      <w:proofErr w:type="spellStart"/>
      <w:r>
        <w:rPr>
          <w:rFonts w:ascii="Times New Roman" w:eastAsia="Calibri" w:hAnsi="Times New Roman" w:cs="Times New Roman"/>
          <w:i w:val="0"/>
          <w:iCs w:val="0"/>
          <w:sz w:val="28"/>
          <w:szCs w:val="28"/>
        </w:rPr>
        <w:t>Н.Н.Ганжара</w:t>
      </w:r>
      <w:proofErr w:type="spellEnd"/>
    </w:p>
    <w:p>
      <w:pPr>
        <w:shd w:val="clear" w:color="auto" w:fill="FFFFFF"/>
        <w:spacing w:line="240" w:lineRule="atLeast"/>
        <w:jc w:val="both"/>
        <w:rPr>
          <w:rFonts w:ascii="Times New Roman" w:hAnsi="Times New Roman"/>
          <w:b/>
          <w:bCs/>
          <w:i w:val="0"/>
          <w:color w:val="010423"/>
          <w:sz w:val="28"/>
          <w:szCs w:val="22"/>
        </w:rPr>
      </w:pPr>
    </w:p>
    <w:p>
      <w:pPr>
        <w:shd w:val="clear" w:color="auto" w:fill="FFFFFF"/>
        <w:spacing w:line="240" w:lineRule="atLeast"/>
        <w:jc w:val="center"/>
        <w:rPr>
          <w:rFonts w:ascii="Times New Roman" w:hAnsi="Times New Roman"/>
          <w:i w:val="0"/>
          <w:color w:val="010423"/>
          <w:sz w:val="28"/>
          <w:szCs w:val="22"/>
        </w:rPr>
      </w:pPr>
      <w:r>
        <w:rPr>
          <w:rFonts w:ascii="Times New Roman" w:hAnsi="Times New Roman"/>
          <w:b/>
          <w:bCs/>
          <w:i w:val="0"/>
          <w:color w:val="010423"/>
          <w:sz w:val="28"/>
          <w:szCs w:val="22"/>
        </w:rPr>
        <w:t>ПОЛОЖЕНИЕ</w:t>
      </w:r>
    </w:p>
    <w:p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bCs/>
          <w:i w:val="0"/>
          <w:color w:val="010423"/>
          <w:sz w:val="28"/>
          <w:szCs w:val="22"/>
        </w:rPr>
      </w:pPr>
      <w:r>
        <w:rPr>
          <w:rFonts w:ascii="Times New Roman" w:hAnsi="Times New Roman"/>
          <w:b/>
          <w:bCs/>
          <w:i w:val="0"/>
          <w:color w:val="010423"/>
          <w:sz w:val="28"/>
          <w:szCs w:val="22"/>
        </w:rPr>
        <w:t>патриотического проекта «ПАРТА ГЕРОЯ»</w:t>
      </w:r>
    </w:p>
    <w:p>
      <w:pPr>
        <w:shd w:val="clear" w:color="auto" w:fill="FFFFFF"/>
        <w:spacing w:line="240" w:lineRule="atLeast"/>
        <w:jc w:val="center"/>
        <w:rPr>
          <w:rFonts w:ascii="Times New Roman" w:hAnsi="Times New Roman"/>
          <w:i w:val="0"/>
          <w:sz w:val="28"/>
          <w:szCs w:val="22"/>
        </w:rPr>
      </w:pPr>
    </w:p>
    <w:p>
      <w:pPr>
        <w:spacing w:line="240" w:lineRule="atLeast"/>
        <w:jc w:val="both"/>
        <w:rPr>
          <w:rFonts w:ascii="Times New Roman" w:hAnsi="Times New Roman"/>
          <w:b/>
          <w:i w:val="0"/>
          <w:sz w:val="28"/>
          <w:szCs w:val="22"/>
        </w:rPr>
      </w:pPr>
      <w:r>
        <w:rPr>
          <w:rFonts w:ascii="Times New Roman" w:hAnsi="Times New Roman"/>
          <w:b/>
          <w:i w:val="0"/>
          <w:sz w:val="28"/>
          <w:szCs w:val="22"/>
        </w:rPr>
        <w:t>1. Общие положения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1.1. Настоящее Положение определяет цели и задачи, порядок организации и проведения патриотического проекта «Парта Героя»</w:t>
      </w:r>
      <w:bookmarkStart w:id="0" w:name="_GoBack"/>
      <w:bookmarkEnd w:id="0"/>
      <w:r>
        <w:rPr>
          <w:rFonts w:ascii="Times New Roman" w:hAnsi="Times New Roman"/>
          <w:i w:val="0"/>
          <w:sz w:val="28"/>
          <w:szCs w:val="22"/>
        </w:rPr>
        <w:t>.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1.2. Основные термины:</w:t>
      </w:r>
    </w:p>
    <w:p>
      <w:pPr>
        <w:spacing w:line="240" w:lineRule="atLeast"/>
        <w:ind w:left="-284" w:firstLine="284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ab/>
        <w:t xml:space="preserve">1.2.1. Парта героя - </w:t>
      </w:r>
      <w:r>
        <w:rPr>
          <w:rFonts w:ascii="Times New Roman" w:hAnsi="Times New Roman" w:cs="Times New Roman"/>
          <w:i w:val="0"/>
          <w:sz w:val="28"/>
          <w:szCs w:val="22"/>
        </w:rPr>
        <w:t xml:space="preserve">ученическая парта с размещенной на ней информацией о заслуженном человеке, герое, имеющем непосредственное отношение к школе и вошедшим в историю отечества и/или являющимся героем нашего времени, и его фотографией, биографией, героическим путем. 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1.2.2. Герой - человек, совершивший доблестный поступок или трудовой подвиг.  Герой –человек, проявив личное мужество, стойкость, готовность к самопожертвованию.</w:t>
      </w:r>
    </w:p>
    <w:p>
      <w:pPr>
        <w:spacing w:line="240" w:lineRule="atLeast"/>
        <w:jc w:val="both"/>
        <w:rPr>
          <w:rFonts w:ascii="Times New Roman" w:hAnsi="Times New Roman"/>
          <w:b/>
          <w:i w:val="0"/>
          <w:sz w:val="28"/>
          <w:szCs w:val="22"/>
        </w:rPr>
      </w:pPr>
      <w:r>
        <w:rPr>
          <w:rFonts w:ascii="Times New Roman" w:hAnsi="Times New Roman"/>
          <w:b/>
          <w:i w:val="0"/>
          <w:sz w:val="28"/>
          <w:szCs w:val="22"/>
        </w:rPr>
        <w:t>2. Цель и задачи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2.1. Цель: создание условий для формирования у детей и подростков уважительного отношения к истории Отечества, героическому прошлому и настоящему нашей страны и малой Родины, героям боевых действий и доблестного труда на примере героических образов ветеранов Великой Отечественной войны, участников современных вооруженных военных конфликтов, ветеранов труда.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2.2. Задачи: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 xml:space="preserve">2.2.1.Содействие нравственному и интеллектуальному развитию </w:t>
      </w:r>
      <w:proofErr w:type="gramStart"/>
      <w:r>
        <w:rPr>
          <w:rFonts w:ascii="Times New Roman" w:hAnsi="Times New Roman"/>
          <w:i w:val="0"/>
          <w:sz w:val="28"/>
          <w:szCs w:val="22"/>
        </w:rPr>
        <w:t>обучающихся</w:t>
      </w:r>
      <w:proofErr w:type="gramEnd"/>
      <w:r>
        <w:rPr>
          <w:rFonts w:ascii="Times New Roman" w:hAnsi="Times New Roman"/>
          <w:i w:val="0"/>
          <w:sz w:val="28"/>
          <w:szCs w:val="22"/>
        </w:rPr>
        <w:t>.</w:t>
      </w:r>
    </w:p>
    <w:p>
      <w:pPr>
        <w:spacing w:line="240" w:lineRule="atLeast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ab/>
        <w:t>2.2.2.</w:t>
      </w:r>
      <w:r>
        <w:rPr>
          <w:rFonts w:ascii="Times New Roman" w:hAnsi="Times New Roman" w:cs="Times New Roman"/>
          <w:i w:val="0"/>
          <w:sz w:val="28"/>
          <w:szCs w:val="22"/>
        </w:rPr>
        <w:t>Содействие творческому самовыражению, гражданскому образованию и гражданско-патриотическому воспитанию молодежи.</w:t>
      </w:r>
    </w:p>
    <w:p>
      <w:pPr>
        <w:spacing w:line="240" w:lineRule="atLeast"/>
        <w:jc w:val="both"/>
        <w:rPr>
          <w:rFonts w:ascii="Times New Roman" w:hAnsi="Times New Roman"/>
          <w:b/>
          <w:i w:val="0"/>
          <w:sz w:val="28"/>
          <w:szCs w:val="22"/>
        </w:rPr>
      </w:pPr>
      <w:r>
        <w:rPr>
          <w:rFonts w:ascii="Times New Roman" w:hAnsi="Times New Roman"/>
          <w:b/>
          <w:i w:val="0"/>
          <w:sz w:val="28"/>
          <w:szCs w:val="22"/>
        </w:rPr>
        <w:t>3. Участники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 xml:space="preserve">3.1. </w:t>
      </w:r>
      <w:proofErr w:type="gramStart"/>
      <w:r>
        <w:rPr>
          <w:rFonts w:ascii="Times New Roman" w:hAnsi="Times New Roman"/>
          <w:i w:val="0"/>
          <w:sz w:val="28"/>
          <w:szCs w:val="22"/>
        </w:rPr>
        <w:t>Обучающиеся</w:t>
      </w:r>
      <w:proofErr w:type="gramEnd"/>
      <w:r>
        <w:rPr>
          <w:rFonts w:ascii="Times New Roman" w:hAnsi="Times New Roman"/>
          <w:i w:val="0"/>
          <w:sz w:val="28"/>
          <w:szCs w:val="22"/>
        </w:rPr>
        <w:t xml:space="preserve"> 1-11 классов  ГОУ ЛНР "БРЯНКОВСКАЯ СШ № 1"</w:t>
      </w:r>
    </w:p>
    <w:p>
      <w:pPr>
        <w:spacing w:line="240" w:lineRule="atLeast"/>
        <w:jc w:val="both"/>
        <w:rPr>
          <w:rFonts w:ascii="Times New Roman" w:hAnsi="Times New Roman"/>
          <w:b/>
          <w:i w:val="0"/>
          <w:sz w:val="28"/>
          <w:szCs w:val="22"/>
        </w:rPr>
      </w:pPr>
      <w:r>
        <w:rPr>
          <w:rFonts w:ascii="Times New Roman" w:hAnsi="Times New Roman"/>
          <w:b/>
          <w:i w:val="0"/>
          <w:sz w:val="28"/>
          <w:szCs w:val="22"/>
        </w:rPr>
        <w:t>4. Время и место проведения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4.1. Место проведения: музей ГОУ ЛНР "БРЯНКОВСКАЯ СШ № 1"</w:t>
      </w:r>
    </w:p>
    <w:p>
      <w:pPr>
        <w:spacing w:line="240" w:lineRule="atLeast"/>
        <w:ind w:firstLine="709"/>
        <w:jc w:val="both"/>
        <w:rPr>
          <w:rFonts w:ascii="Times New Roman" w:hAnsi="Times New Roman"/>
          <w:i w:val="0"/>
          <w:sz w:val="28"/>
          <w:szCs w:val="22"/>
        </w:rPr>
      </w:pPr>
      <w:r>
        <w:rPr>
          <w:rFonts w:ascii="Times New Roman" w:hAnsi="Times New Roman"/>
          <w:i w:val="0"/>
          <w:sz w:val="28"/>
          <w:szCs w:val="22"/>
        </w:rPr>
        <w:t>4.2. Время проведения: в течение года</w:t>
      </w:r>
    </w:p>
    <w:p>
      <w:pPr>
        <w:spacing w:line="240" w:lineRule="atLeast"/>
        <w:jc w:val="both"/>
        <w:rPr>
          <w:rFonts w:ascii="Times New Roman" w:hAnsi="Times New Roman"/>
          <w:b/>
          <w:i w:val="0"/>
          <w:sz w:val="28"/>
          <w:szCs w:val="22"/>
        </w:rPr>
      </w:pPr>
      <w:r>
        <w:rPr>
          <w:rFonts w:ascii="Times New Roman" w:hAnsi="Times New Roman"/>
          <w:b/>
          <w:i w:val="0"/>
          <w:sz w:val="28"/>
          <w:szCs w:val="22"/>
        </w:rPr>
        <w:t>5. Порядок и условия проведения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5.1. Проект реализовывается в системе воспитательной работы школы и в рамках проектной деятельности.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 xml:space="preserve">5.2. </w:t>
      </w:r>
      <w:proofErr w:type="gramStart"/>
      <w:r>
        <w:rPr>
          <w:rFonts w:ascii="Times New Roman" w:hAnsi="Times New Roman" w:cs="Times New Roman"/>
          <w:i w:val="0"/>
          <w:sz w:val="28"/>
          <w:szCs w:val="22"/>
        </w:rPr>
        <w:t xml:space="preserve">Участники – обучающиеся 1-11 классов по итогам учебной четверти на классном собрании (классном часе, воспитательном мероприятии) определяют с помощью голосования (открытого или закрытого по решению класса), кто наиболее достоин в следующей учебной четверти сидеть за Партой Героя на уроках, проходящих в кабинете, где установлена </w:t>
      </w:r>
      <w:r>
        <w:rPr>
          <w:rFonts w:ascii="Times New Roman" w:hAnsi="Times New Roman" w:cs="Times New Roman"/>
          <w:i w:val="0"/>
          <w:sz w:val="28"/>
          <w:szCs w:val="22"/>
        </w:rPr>
        <w:lastRenderedPageBreak/>
        <w:t xml:space="preserve">Парта Героя.  </w:t>
      </w:r>
      <w:proofErr w:type="gramEnd"/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5.3. Критериями для выявления наиболее достойных обучающихся являются: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- поведение в школе и повседневной жизни;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- положительная динамика в успеваемости по учебным предметам;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- участие в общественных делах класса и школы;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- здоровый образ жизни;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-нравственная, жизненная позиция, являющаяся примером для подражания.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2"/>
        </w:rPr>
        <w:t>5.4.Обчающиеся, победившие в голосовании, получают возможность и имеют право в течение следующей учебной четверти обучаться за «Партой Героя».</w:t>
      </w:r>
      <w:proofErr w:type="gramEnd"/>
    </w:p>
    <w:p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i w:val="0"/>
          <w:color w:val="010423"/>
          <w:sz w:val="28"/>
          <w:szCs w:val="22"/>
        </w:rPr>
      </w:pPr>
      <w:r>
        <w:rPr>
          <w:rFonts w:ascii="Times New Roman" w:hAnsi="Times New Roman" w:cs="Times New Roman"/>
          <w:b/>
          <w:bCs/>
          <w:i w:val="0"/>
          <w:color w:val="010423"/>
          <w:sz w:val="28"/>
          <w:szCs w:val="22"/>
        </w:rPr>
        <w:t xml:space="preserve">6. Порядок награждения </w:t>
      </w:r>
    </w:p>
    <w:p>
      <w:pPr>
        <w:spacing w:line="240" w:lineRule="atLeast"/>
        <w:ind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color w:val="000000"/>
          <w:sz w:val="28"/>
          <w:szCs w:val="22"/>
        </w:rPr>
        <w:t>6</w:t>
      </w:r>
      <w:r>
        <w:rPr>
          <w:rFonts w:ascii="Times New Roman" w:hAnsi="Times New Roman" w:cs="Times New Roman"/>
          <w:i w:val="0"/>
          <w:sz w:val="28"/>
          <w:szCs w:val="22"/>
        </w:rPr>
        <w:t>.1. Участники патриотического проекта – учащиеся 1-11 классов, обучавшиеся за Партой Героя в течение двух учебных четвертей подряд, получают в награду Благодарственное письмо за подписью директора школы.</w:t>
      </w:r>
    </w:p>
    <w:p>
      <w:pPr>
        <w:pStyle w:val="1"/>
        <w:spacing w:line="240" w:lineRule="atLeast"/>
        <w:ind w:right="1209"/>
        <w:jc w:val="both"/>
        <w:rPr>
          <w:b/>
          <w:szCs w:val="22"/>
        </w:rPr>
      </w:pPr>
      <w:r>
        <w:rPr>
          <w:b/>
          <w:szCs w:val="22"/>
        </w:rPr>
        <w:t>7. Финансирование мероприятия</w:t>
      </w:r>
    </w:p>
    <w:p>
      <w:pPr>
        <w:pStyle w:val="1"/>
        <w:spacing w:line="240" w:lineRule="atLeast"/>
        <w:ind w:right="1209"/>
        <w:jc w:val="both"/>
        <w:rPr>
          <w:b/>
          <w:szCs w:val="22"/>
        </w:rPr>
      </w:pPr>
      <w:r>
        <w:rPr>
          <w:szCs w:val="22"/>
        </w:rPr>
        <w:t xml:space="preserve">          7.1. Финансирование реализации проекта «Парта героя» осуществляет ГОУ ЛНР "БРЯНКОВСКАЯ СШ № 1".</w:t>
      </w:r>
    </w:p>
    <w:p>
      <w:pPr>
        <w:pStyle w:val="1"/>
        <w:spacing w:line="240" w:lineRule="atLeast"/>
        <w:ind w:right="1217"/>
        <w:jc w:val="both"/>
        <w:rPr>
          <w:b/>
          <w:szCs w:val="22"/>
        </w:rPr>
      </w:pPr>
      <w:r>
        <w:rPr>
          <w:b/>
          <w:szCs w:val="22"/>
        </w:rPr>
        <w:t>8. Заключительные положения</w:t>
      </w:r>
    </w:p>
    <w:p>
      <w:pPr>
        <w:spacing w:line="240" w:lineRule="atLeast"/>
        <w:ind w:right="193" w:firstLine="709"/>
        <w:jc w:val="both"/>
        <w:rPr>
          <w:rFonts w:ascii="Times New Roman" w:hAnsi="Times New Roman" w:cs="Times New Roman"/>
          <w:i w:val="0"/>
          <w:sz w:val="28"/>
          <w:szCs w:val="22"/>
        </w:rPr>
      </w:pPr>
      <w:r>
        <w:rPr>
          <w:rFonts w:ascii="Times New Roman" w:hAnsi="Times New Roman" w:cs="Times New Roman"/>
          <w:i w:val="0"/>
          <w:sz w:val="28"/>
          <w:szCs w:val="22"/>
        </w:rPr>
        <w:t>8.1.Все вопросы, не отраженные в настоящем Положении, решаются организаторами, исходя из компетенции в рамках сложившейся ситуации и в соответствии с действующим законодательством.</w:t>
      </w:r>
    </w:p>
    <w:sectPr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 w:val="0"/>
      <w:iCs w:val="0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i w:val="0"/>
      <w:iCs w:val="0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 w:cs="Times New Roman"/>
      <w:b/>
      <w:bCs/>
      <w:i w:val="0"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Times New Roman" w:hAnsi="Cambria" w:cs="Times New Roman"/>
      <w:b/>
      <w:bCs/>
      <w:sz w:val="28"/>
      <w:szCs w:val="28"/>
    </w:rPr>
  </w:style>
  <w:style w:type="paragraph" w:styleId="a3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3</cp:revision>
  <cp:lastPrinted>2023-02-06T10:34:00Z</cp:lastPrinted>
  <dcterms:created xsi:type="dcterms:W3CDTF">2023-02-06T11:03:00Z</dcterms:created>
  <dcterms:modified xsi:type="dcterms:W3CDTF">2023-02-06T11:04:00Z</dcterms:modified>
</cp:coreProperties>
</file>